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5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1"/>
        <w:gridCol w:w="1027"/>
        <w:gridCol w:w="709"/>
        <w:gridCol w:w="1417"/>
        <w:gridCol w:w="1276"/>
        <w:gridCol w:w="1276"/>
        <w:gridCol w:w="2693"/>
        <w:gridCol w:w="2835"/>
        <w:gridCol w:w="1276"/>
        <w:gridCol w:w="1273"/>
      </w:tblGrid>
      <w:tr w:rsidR="009D5790" w:rsidTr="009D5790">
        <w:trPr>
          <w:trHeight w:val="261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9D5790" w:rsidTr="009D5790">
        <w:trPr>
          <w:trHeight w:val="118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Особенности процессуальных действий с участием несовершеннолетних.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r>
              <w:rPr>
                <w:rFonts w:ascii="Verdana" w:hAnsi="Verdana"/>
                <w:color w:val="000000"/>
              </w:rPr>
              <w:t>Процессуальные нормы, определяющие особенности порядка производства по уголовным делам в отношении несовершеннолетних в новом УПК закреплены в ч. 4 гл. 50 раздела XVI.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Краткий конспект </w:t>
            </w:r>
            <w:proofErr w:type="spellStart"/>
            <w:r>
              <w:t>ст</w:t>
            </w:r>
            <w:proofErr w:type="spellEnd"/>
            <w:r>
              <w:t xml:space="preserve"> 426-432</w:t>
            </w:r>
            <w:r>
              <w:t xml:space="preserve"> УПК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790" w:rsidRDefault="009D57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8A28F6" w:rsidRDefault="008A28F6"/>
    <w:sectPr w:rsidR="008A28F6" w:rsidSect="009D57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790"/>
    <w:rsid w:val="008A28F6"/>
    <w:rsid w:val="009D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D44DC"/>
  <w15:chartTrackingRefBased/>
  <w15:docId w15:val="{A12ECF00-0615-4071-82D6-034EEE0C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7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57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2020-04-21T20:06:00Z</dcterms:created>
  <dcterms:modified xsi:type="dcterms:W3CDTF">2020-04-21T20:09:00Z</dcterms:modified>
</cp:coreProperties>
</file>