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11 класс литература</w:t>
        <w:tab/>
      </w:r>
    </w:p>
    <w:tbl>
      <w:tblPr>
        <w:jc w:val="left"/>
        <w:tblInd w:type="dxa" w:w="-51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749"/>
        <w:gridCol w:w="1091"/>
        <w:gridCol w:w="983"/>
        <w:gridCol w:w="1458"/>
        <w:gridCol w:w="2196"/>
        <w:gridCol w:w="1747"/>
        <w:gridCol w:w="1840"/>
        <w:gridCol w:w="2443"/>
        <w:gridCol w:w="1596"/>
        <w:gridCol w:w="1818"/>
      </w:tblGrid>
      <w:tr>
        <w:trPr>
          <w:cantSplit w:val="false"/>
        </w:trPr>
        <w:tc>
          <w:tcPr>
            <w:tcW w:type="dxa" w:w="7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4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8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Гражданственность поэзии Р.Рождественского и Е. Евтушенко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42_1046216412"/>
            <w:bookmarkEnd w:id="1"/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стихи поэтов</w:t>
            </w:r>
          </w:p>
        </w:tc>
        <w:tc>
          <w:tcPr>
            <w:tcW w:type="dxa" w:w="24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Дать письменный анализ любого стихотворения Р.Рождественского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Гражданственность поэзии Р.Рождественского и Е. Евтушенко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стихи поэтов</w:t>
            </w:r>
          </w:p>
        </w:tc>
        <w:tc>
          <w:tcPr>
            <w:tcW w:type="dxa" w:w="24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Дать письменный анализ любого стихотворения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Е. Евтушенко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21.05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Л.П. Рубликова</w:t>
            </w:r>
          </w:p>
        </w:tc>
        <w:tc>
          <w:tcPr>
            <w:tcW w:type="dxa" w:w="21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6"/>
                <w:szCs w:val="26"/>
              </w:rPr>
              <w:t>Основные направления и тенденции развития современной литературы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Читать раздел по учебнику.</w:t>
            </w:r>
          </w:p>
        </w:tc>
        <w:tc>
          <w:tcPr>
            <w:tcW w:type="dxa" w:w="24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Писать сочинение ЕГЭ вар. см в задании по русскому языку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